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78E08529" w:rsidP="6C5EAC7D" w:rsidRDefault="78E08529" w14:paraId="39244210" w14:textId="32B57161">
      <w:pPr>
        <w:spacing w:before="240" w:beforeAutospacing="off" w:after="200" w:afterAutospacing="off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5EAC7D" w:rsidR="02B1F5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PROCESO GESTIÓN DEL TALENTO HUMANO </w:t>
      </w:r>
    </w:p>
    <w:p w:rsidR="78E08529" w:rsidP="6C5EAC7D" w:rsidRDefault="78E08529" w14:paraId="3B6FD278" w14:textId="65220910">
      <w:pPr>
        <w:spacing w:before="240" w:beforeAutospacing="off" w:after="200" w:afterAutospacing="off" w:line="276" w:lineRule="auto"/>
        <w:jc w:val="center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5EAC7D" w:rsidR="02B1F5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FORMATO INFORME MENSUAL EJECUCIÓN CONTRACTUAL</w:t>
      </w:r>
    </w:p>
    <w:p w:rsidR="78E08529" w:rsidP="6CF76B6E" w:rsidRDefault="78E08529" w14:paraId="38D45120" w14:textId="75A59C79">
      <w:pPr>
        <w:spacing w:before="0" w:beforeAutospacing="off" w:after="200" w:afterAutospacing="off" w:line="240" w:lineRule="auto"/>
        <w:ind w:left="3402" w:right="0" w:firstLine="1701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F76B6E" w:rsidR="02B1F5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Bogotá </w:t>
      </w:r>
      <w:r w:rsidRPr="6CF76B6E" w:rsidR="63AF2F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Ju</w:t>
      </w:r>
      <w:r w:rsidRPr="6CF76B6E" w:rsidR="3933148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l</w:t>
      </w:r>
      <w:r w:rsidRPr="6CF76B6E" w:rsidR="63AF2F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io</w:t>
      </w:r>
      <w:r w:rsidRPr="6CF76B6E" w:rsidR="63AF2F3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6CF76B6E" w:rsidR="02B1F5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2025</w:t>
      </w:r>
    </w:p>
    <w:p w:rsidR="78E08529" w:rsidP="6C5EAC7D" w:rsidRDefault="78E08529" w14:paraId="4D069A6F" w14:textId="4A9BF745">
      <w:pPr>
        <w:spacing w:before="240" w:beforeAutospacing="off" w:after="20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78E08529" w:rsidP="6C5EAC7D" w:rsidRDefault="78E08529" w14:paraId="74AD1BF6" w14:textId="41F6DFBC">
      <w:pPr>
        <w:spacing w:before="240" w:beforeAutospacing="off" w:after="20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5EAC7D" w:rsidR="02B1F52F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Referencia:</w:t>
      </w:r>
      <w:r w:rsidRPr="6C5EAC7D" w:rsidR="02B1F5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No </w:t>
      </w:r>
      <w:r w:rsidRPr="6C5EAC7D" w:rsidR="02B1F52F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242424"/>
          <w:sz w:val="22"/>
          <w:szCs w:val="22"/>
          <w:lang w:val="es-ES"/>
        </w:rPr>
        <w:t xml:space="preserve">CO1.PCCNTR.7296460 </w:t>
      </w:r>
      <w:r w:rsidRPr="6C5EAC7D" w:rsidR="02B1F5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del 2025</w:t>
      </w:r>
    </w:p>
    <w:p w:rsidR="78E08529" w:rsidP="6C5EAC7D" w:rsidRDefault="78E08529" w14:paraId="694E4AF0" w14:textId="0B416261">
      <w:pPr>
        <w:spacing w:before="240" w:beforeAutospacing="off" w:after="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5EAC7D" w:rsidR="02B1F5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Andres Camilo Penagos Beltran.</w:t>
      </w:r>
    </w:p>
    <w:p w:rsidR="78E08529" w:rsidP="6C5EAC7D" w:rsidRDefault="78E08529" w14:paraId="77BC5DD9" w14:textId="45E045A2">
      <w:pPr>
        <w:spacing w:before="240" w:beforeAutospacing="off" w:after="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5EAC7D" w:rsidR="02B1F52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C.C. 1069731325</w:t>
      </w:r>
    </w:p>
    <w:p w:rsidR="78E08529" w:rsidP="6C5EAC7D" w:rsidRDefault="78E08529" w14:paraId="0658E65C" w14:textId="312742DA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78E08529" w:rsidP="6CF76B6E" w:rsidRDefault="78E08529" w14:paraId="746CD344" w14:textId="131FE709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F76B6E" w:rsidR="02B1F52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Evidencias </w:t>
      </w:r>
      <w:r w:rsidRPr="6CF76B6E" w:rsidR="19458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Ju</w:t>
      </w:r>
      <w:r w:rsidRPr="6CF76B6E" w:rsidR="4671C3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l</w:t>
      </w:r>
      <w:r w:rsidRPr="6CF76B6E" w:rsidR="19458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io</w:t>
      </w:r>
      <w:r w:rsidRPr="6CF76B6E" w:rsidR="194580F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 </w:t>
      </w:r>
      <w:r w:rsidRPr="6CF76B6E" w:rsidR="02B1F52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2025- Obligación 4</w:t>
      </w:r>
    </w:p>
    <w:p w:rsidR="78E08529" w:rsidP="6C5EAC7D" w:rsidRDefault="78E08529" w14:paraId="0778FDB8" w14:textId="1810A2EF">
      <w:pPr>
        <w:pStyle w:val="Heading1"/>
        <w:keepNext w:val="1"/>
        <w:keepLines w:val="1"/>
        <w:spacing w:before="322" w:beforeAutospacing="off" w:after="322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24"/>
          <w:szCs w:val="24"/>
          <w:lang w:val="es-ES"/>
        </w:rPr>
      </w:pPr>
      <w:r w:rsidRPr="6C5EAC7D" w:rsidR="02B1F52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F4761" w:themeColor="accent1" w:themeTint="FF" w:themeShade="BF"/>
          <w:sz w:val="24"/>
          <w:szCs w:val="24"/>
          <w:lang w:val="es-ES"/>
        </w:rPr>
        <w:t>Informe de Gestión</w:t>
      </w:r>
    </w:p>
    <w:p w:rsidR="78E08529" w:rsidP="64544528" w:rsidRDefault="78E08529" w14:paraId="0141A0F5" w14:textId="3769C732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CF76B6E" w:rsidR="02B1F52F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Obligación Contractual 4:</w:t>
      </w:r>
      <w:r>
        <w:br/>
      </w:r>
      <w:r w:rsidRPr="6CF76B6E" w:rsidR="02B1F52F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Apoyar en la documentación técnica, incluyendo informes, análisis y respuestas a requerimientos específicos sobre la gestión, organización y acceso de los recursos educativos digitales</w:t>
      </w:r>
    </w:p>
    <w:p w:rsidR="732C8E5F" w:rsidP="6CF76B6E" w:rsidRDefault="732C8E5F" w14:paraId="28A558BE" w14:textId="6D676EC8">
      <w:pPr>
        <w:spacing w:before="240" w:beforeAutospacing="off" w:after="240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  <w:t>Informe Ejecutivo de Revisión</w:t>
      </w:r>
      <w:r>
        <w:br/>
      </w: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 xml:space="preserve"> </w:t>
      </w:r>
      <w:r w:rsidRPr="6CF76B6E" w:rsidR="732C8E5F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  <w:t>Programa Complementaria “Comunicación en Español para Extranjeros – Nivel V” (51240107_1_VIRTUAL_1)</w:t>
      </w:r>
    </w:p>
    <w:p w:rsidR="6CF76B6E" w:rsidRDefault="6CF76B6E" w14:paraId="6E08A750" w14:textId="32857164"/>
    <w:p w:rsidR="732C8E5F" w:rsidP="6CF76B6E" w:rsidRDefault="732C8E5F" w14:paraId="41493611" w14:textId="3259D692">
      <w:pPr>
        <w:pStyle w:val="Heading2"/>
        <w:spacing w:before="299" w:beforeAutospacing="off" w:after="299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ES"/>
        </w:rPr>
        <w:t>1. Objetivo</w:t>
      </w:r>
    </w:p>
    <w:p w:rsidR="732C8E5F" w:rsidP="6CF76B6E" w:rsidRDefault="732C8E5F" w14:paraId="4478FD68" w14:textId="681B722E">
      <w:pPr>
        <w:spacing w:before="240" w:beforeAutospacing="off" w:after="240" w:afterAutospacing="off"/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Presentar de manera sintética los principales hallazgos y recomendaciones derivados de la revisión de los documentos del programa complementario “Comunicación en Español para Extranjeros – Nivel V”, con el fin de asegurar la corrección lingüística, la coherencia pedagógica y la conformidad con los estándares institucionales.</w:t>
      </w:r>
    </w:p>
    <w:p w:rsidR="732C8E5F" w:rsidP="6CF76B6E" w:rsidRDefault="732C8E5F" w14:paraId="44E72D1B" w14:textId="3A3DE2F7">
      <w:pPr>
        <w:pStyle w:val="Heading2"/>
        <w:spacing w:before="299" w:beforeAutospacing="off" w:after="299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ES"/>
        </w:rPr>
        <w:t>2. Alcance</w:t>
      </w:r>
    </w:p>
    <w:p w:rsidR="732C8E5F" w:rsidP="6CF76B6E" w:rsidRDefault="732C8E5F" w14:paraId="264BF6FB" w14:textId="732CF03B">
      <w:p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Se revisaron los siguientes artefactos, elaborados por</w:t>
      </w:r>
      <w:r w:rsidRPr="6CF76B6E" w:rsidR="019E2F5D">
        <w:rPr>
          <w:rFonts w:ascii="Calibri" w:hAnsi="Calibri" w:eastAsia="Calibri" w:cs="Calibri"/>
          <w:noProof w:val="0"/>
          <w:sz w:val="24"/>
          <w:szCs w:val="24"/>
          <w:lang w:val="es-ES"/>
        </w:rPr>
        <w:t xml:space="preserve"> la </w:t>
      </w:r>
      <w:r w:rsidRPr="6CF76B6E" w:rsidR="019E2F5D">
        <w:rPr>
          <w:rFonts w:ascii="Calibri" w:hAnsi="Calibri" w:eastAsia="Calibri" w:cs="Calibri"/>
          <w:noProof w:val="0"/>
          <w:sz w:val="24"/>
          <w:szCs w:val="24"/>
          <w:lang w:val="es-ES"/>
        </w:rPr>
        <w:t>línea</w:t>
      </w:r>
      <w:r w:rsidRPr="6CF76B6E" w:rsidR="019E2F5D">
        <w:rPr>
          <w:rFonts w:ascii="Calibri" w:hAnsi="Calibri" w:eastAsia="Calibri" w:cs="Calibri"/>
          <w:noProof w:val="0"/>
          <w:sz w:val="24"/>
          <w:szCs w:val="24"/>
          <w:lang w:val="es-ES"/>
        </w:rPr>
        <w:t xml:space="preserve"> de producción </w:t>
      </w: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entre el 09 y el 10 de julio de 2025:</w:t>
      </w:r>
    </w:p>
    <w:p w:rsidR="732C8E5F" w:rsidP="6CF76B6E" w:rsidRDefault="732C8E5F" w14:paraId="1EBAB502" w14:textId="4853F8E4">
      <w:pPr>
        <w:pStyle w:val="Prrafodelista"/>
        <w:numPr>
          <w:ilvl w:val="0"/>
          <w:numId w:val="22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Diseño curricular</w:t>
      </w:r>
    </w:p>
    <w:p w:rsidR="732C8E5F" w:rsidP="6CF76B6E" w:rsidRDefault="732C8E5F" w14:paraId="5959CC0F" w14:textId="771B2F66">
      <w:pPr>
        <w:pStyle w:val="Prrafodelista"/>
        <w:numPr>
          <w:ilvl w:val="0"/>
          <w:numId w:val="22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Planeación pedagógica</w:t>
      </w:r>
    </w:p>
    <w:p w:rsidR="732C8E5F" w:rsidP="6CF76B6E" w:rsidRDefault="732C8E5F" w14:paraId="6683C6EE" w14:textId="4E26E7E2">
      <w:pPr>
        <w:pStyle w:val="Prrafodelista"/>
        <w:numPr>
          <w:ilvl w:val="0"/>
          <w:numId w:val="22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Cronograma</w:t>
      </w:r>
    </w:p>
    <w:p w:rsidR="732C8E5F" w:rsidP="6CF76B6E" w:rsidRDefault="732C8E5F" w14:paraId="24589D3D" w14:textId="198DD30A">
      <w:pPr>
        <w:pStyle w:val="Prrafodelista"/>
        <w:numPr>
          <w:ilvl w:val="0"/>
          <w:numId w:val="22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Guía de aprendizaje 1</w:t>
      </w:r>
    </w:p>
    <w:p w:rsidR="732C8E5F" w:rsidP="6CF76B6E" w:rsidRDefault="732C8E5F" w14:paraId="1D8FE060" w14:textId="50F647D9">
      <w:pPr>
        <w:pStyle w:val="Heading2"/>
        <w:spacing w:before="299" w:beforeAutospacing="off" w:after="299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ES"/>
        </w:rPr>
        <w:t>3. Metodología</w:t>
      </w:r>
    </w:p>
    <w:p w:rsidR="732C8E5F" w:rsidP="6CF76B6E" w:rsidRDefault="732C8E5F" w14:paraId="6B6312EC" w14:textId="08938487">
      <w:pPr>
        <w:pStyle w:val="Prrafodelista"/>
        <w:numPr>
          <w:ilvl w:val="0"/>
          <w:numId w:val="2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Lectura detallada de cada recurso en la plataforma Sofia Plus y documentos asociados.</w:t>
      </w:r>
    </w:p>
    <w:p w:rsidR="732C8E5F" w:rsidP="6CF76B6E" w:rsidRDefault="732C8E5F" w14:paraId="3BED7292" w14:textId="73FD1B99">
      <w:pPr>
        <w:pStyle w:val="Prrafodelista"/>
        <w:numPr>
          <w:ilvl w:val="0"/>
          <w:numId w:val="2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Identificación de incidencias ortográficas, gramaticales, de formato y de coherencia entre planeación y evidencias.</w:t>
      </w:r>
    </w:p>
    <w:p w:rsidR="732C8E5F" w:rsidP="6CF76B6E" w:rsidRDefault="732C8E5F" w14:paraId="75F2EC1A" w14:textId="2B4A7020">
      <w:pPr>
        <w:pStyle w:val="Prrafodelista"/>
        <w:numPr>
          <w:ilvl w:val="0"/>
          <w:numId w:val="2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Registro de hallazgos en hoja de cálculo interna, con ruta de localización y sugerencia de corrección.</w:t>
      </w:r>
    </w:p>
    <w:p w:rsidR="732C8E5F" w:rsidP="6CF76B6E" w:rsidRDefault="732C8E5F" w14:paraId="6B703A73" w14:textId="0E967E67">
      <w:pPr>
        <w:pStyle w:val="Heading2"/>
        <w:spacing w:before="299" w:beforeAutospacing="off" w:after="299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ES"/>
        </w:rPr>
        <w:t>4. Hallazgos Principales</w:t>
      </w:r>
    </w:p>
    <w:tbl>
      <w:tblPr>
        <w:tblStyle w:val="Tablanormal"/>
        <w:bidiVisual w:val="0"/>
        <w:tblW w:w="0" w:type="auto"/>
        <w:tblLayout w:type="fixed"/>
        <w:tblLook w:val="06A0" w:firstRow="1" w:lastRow="0" w:firstColumn="1" w:lastColumn="0" w:noHBand="1" w:noVBand="1"/>
      </w:tblPr>
      <w:tblGrid>
        <w:gridCol w:w="2056"/>
        <w:gridCol w:w="6414"/>
        <w:gridCol w:w="545"/>
      </w:tblGrid>
      <w:tr w:rsidR="6CF76B6E" w:rsidTr="6CF76B6E" w14:paraId="03E9AFF3">
        <w:trPr>
          <w:trHeight w:val="300"/>
        </w:trPr>
        <w:tc>
          <w:tcPr>
            <w:tcW w:w="2056" w:type="dxa"/>
            <w:tcMar/>
            <w:vAlign w:val="center"/>
          </w:tcPr>
          <w:p w:rsidR="6CF76B6E" w:rsidP="6CF76B6E" w:rsidRDefault="6CF76B6E" w14:paraId="0F3849C1" w14:textId="49B1CBA1">
            <w:pPr>
              <w:spacing w:before="0" w:beforeAutospacing="off" w:after="0" w:afterAutospacing="off"/>
              <w:jc w:val="center"/>
            </w:pPr>
            <w:r w:rsidRPr="6CF76B6E" w:rsidR="6CF76B6E">
              <w:rPr>
                <w:b w:val="1"/>
                <w:bCs w:val="1"/>
              </w:rPr>
              <w:t>Categoría</w:t>
            </w:r>
          </w:p>
        </w:tc>
        <w:tc>
          <w:tcPr>
            <w:tcW w:w="6414" w:type="dxa"/>
            <w:tcMar/>
            <w:vAlign w:val="center"/>
          </w:tcPr>
          <w:p w:rsidR="6CF76B6E" w:rsidP="6CF76B6E" w:rsidRDefault="6CF76B6E" w14:paraId="33508241" w14:textId="79F34C93">
            <w:pPr>
              <w:spacing w:before="0" w:beforeAutospacing="off" w:after="0" w:afterAutospacing="off"/>
              <w:jc w:val="center"/>
            </w:pPr>
            <w:r w:rsidRPr="6CF76B6E" w:rsidR="6CF76B6E">
              <w:rPr>
                <w:b w:val="1"/>
                <w:bCs w:val="1"/>
              </w:rPr>
              <w:t>Descripción resumida</w:t>
            </w:r>
          </w:p>
        </w:tc>
        <w:tc>
          <w:tcPr>
            <w:tcW w:w="545" w:type="dxa"/>
            <w:tcMar/>
            <w:vAlign w:val="center"/>
          </w:tcPr>
          <w:p w:rsidR="6CF76B6E" w:rsidP="6CF76B6E" w:rsidRDefault="6CF76B6E" w14:paraId="4C12306F" w14:textId="32A8451A">
            <w:pPr>
              <w:spacing w:before="0" w:beforeAutospacing="off" w:after="0" w:afterAutospacing="off"/>
              <w:jc w:val="center"/>
            </w:pPr>
            <w:r w:rsidRPr="6CF76B6E" w:rsidR="6CF76B6E">
              <w:rPr>
                <w:b w:val="1"/>
                <w:bCs w:val="1"/>
              </w:rPr>
              <w:t>Incidencias</w:t>
            </w:r>
          </w:p>
        </w:tc>
      </w:tr>
      <w:tr w:rsidR="6CF76B6E" w:rsidTr="6CF76B6E" w14:paraId="25DBDA51">
        <w:trPr>
          <w:trHeight w:val="300"/>
        </w:trPr>
        <w:tc>
          <w:tcPr>
            <w:tcW w:w="2056" w:type="dxa"/>
            <w:tcMar/>
            <w:vAlign w:val="center"/>
          </w:tcPr>
          <w:p w:rsidR="6CF76B6E" w:rsidP="6CF76B6E" w:rsidRDefault="6CF76B6E" w14:paraId="3DED5AE6" w14:textId="58833FC1">
            <w:pPr>
              <w:spacing w:before="0" w:beforeAutospacing="off" w:after="0" w:afterAutospacing="off"/>
            </w:pPr>
            <w:r w:rsidRPr="6CF76B6E" w:rsidR="6CF76B6E">
              <w:rPr>
                <w:b w:val="1"/>
                <w:bCs w:val="1"/>
              </w:rPr>
              <w:t>1. Consistencia terminológica y ortográfica</w:t>
            </w:r>
          </w:p>
        </w:tc>
        <w:tc>
          <w:tcPr>
            <w:tcW w:w="6414" w:type="dxa"/>
            <w:tcMar/>
            <w:vAlign w:val="center"/>
          </w:tcPr>
          <w:p w:rsidR="6CF76B6E" w:rsidP="6CF76B6E" w:rsidRDefault="6CF76B6E" w14:paraId="713CFFF6" w14:textId="2D8FF99B">
            <w:pPr>
              <w:spacing w:before="0" w:beforeAutospacing="off" w:after="0" w:afterAutospacing="off"/>
            </w:pPr>
            <w:r w:rsidR="6CF76B6E">
              <w:rPr/>
              <w:t>• Tilde faltante en “PLANEACIÓN” en la planeación pedagógica.</w:t>
            </w:r>
            <w:r>
              <w:br/>
            </w:r>
            <w:r w:rsidR="6CF76B6E">
              <w:rPr/>
              <w:t>• Redundancia “opiniones personales” (desechar “personales”).</w:t>
            </w:r>
          </w:p>
        </w:tc>
        <w:tc>
          <w:tcPr>
            <w:tcW w:w="545" w:type="dxa"/>
            <w:tcMar/>
            <w:vAlign w:val="center"/>
          </w:tcPr>
          <w:p w:rsidR="6CF76B6E" w:rsidP="6CF76B6E" w:rsidRDefault="6CF76B6E" w14:paraId="04919FED" w14:textId="73471080">
            <w:pPr>
              <w:spacing w:before="0" w:beforeAutospacing="off" w:after="0" w:afterAutospacing="off"/>
            </w:pPr>
            <w:r w:rsidR="6CF76B6E">
              <w:rPr/>
              <w:t>2</w:t>
            </w:r>
          </w:p>
        </w:tc>
      </w:tr>
      <w:tr w:rsidR="6CF76B6E" w:rsidTr="6CF76B6E" w14:paraId="216DBE0F">
        <w:trPr>
          <w:trHeight w:val="300"/>
        </w:trPr>
        <w:tc>
          <w:tcPr>
            <w:tcW w:w="2056" w:type="dxa"/>
            <w:tcMar/>
            <w:vAlign w:val="center"/>
          </w:tcPr>
          <w:p w:rsidR="6CF76B6E" w:rsidP="6CF76B6E" w:rsidRDefault="6CF76B6E" w14:paraId="152FC7C0" w14:textId="0EBF1451">
            <w:pPr>
              <w:spacing w:before="0" w:beforeAutospacing="off" w:after="0" w:afterAutospacing="off"/>
            </w:pPr>
            <w:r w:rsidRPr="6CF76B6E" w:rsidR="6CF76B6E">
              <w:rPr>
                <w:b w:val="1"/>
                <w:bCs w:val="1"/>
              </w:rPr>
              <w:t>2. Precisión gramatical</w:t>
            </w:r>
          </w:p>
        </w:tc>
        <w:tc>
          <w:tcPr>
            <w:tcW w:w="6414" w:type="dxa"/>
            <w:tcMar/>
            <w:vAlign w:val="center"/>
          </w:tcPr>
          <w:p w:rsidR="6CF76B6E" w:rsidP="6CF76B6E" w:rsidRDefault="6CF76B6E" w14:paraId="3D375190" w14:textId="6F208445">
            <w:pPr>
              <w:spacing w:before="0" w:beforeAutospacing="off" w:after="0" w:afterAutospacing="off"/>
            </w:pPr>
            <w:r w:rsidR="6CF76B6E">
              <w:rPr/>
              <w:t>• Falta de preposición “a” antes de “partir de tiempo y contexto” en tres recursos (planeación AA1, cronograma AA1, guía AA1-EV01/EV02).</w:t>
            </w:r>
            <w:r>
              <w:br/>
            </w:r>
            <w:r w:rsidR="6CF76B6E">
              <w:rPr/>
              <w:t>• Uso incorrecto del verbo “despertarse” en IE‑AA1‑EV01 (debe ser “despertar”).</w:t>
            </w:r>
          </w:p>
        </w:tc>
        <w:tc>
          <w:tcPr>
            <w:tcW w:w="545" w:type="dxa"/>
            <w:tcMar/>
            <w:vAlign w:val="center"/>
          </w:tcPr>
          <w:p w:rsidR="6CF76B6E" w:rsidP="6CF76B6E" w:rsidRDefault="6CF76B6E" w14:paraId="15F33CAF" w14:textId="72E8A674">
            <w:pPr>
              <w:spacing w:before="0" w:beforeAutospacing="off" w:after="0" w:afterAutospacing="off"/>
            </w:pPr>
            <w:r w:rsidR="6CF76B6E">
              <w:rPr/>
              <w:t>3</w:t>
            </w:r>
          </w:p>
        </w:tc>
      </w:tr>
      <w:tr w:rsidR="6CF76B6E" w:rsidTr="6CF76B6E" w14:paraId="125EE72E">
        <w:trPr>
          <w:trHeight w:val="300"/>
        </w:trPr>
        <w:tc>
          <w:tcPr>
            <w:tcW w:w="2056" w:type="dxa"/>
            <w:tcMar/>
            <w:vAlign w:val="center"/>
          </w:tcPr>
          <w:p w:rsidR="6CF76B6E" w:rsidP="6CF76B6E" w:rsidRDefault="6CF76B6E" w14:paraId="255C32B1" w14:textId="3642249D">
            <w:pPr>
              <w:spacing w:before="0" w:beforeAutospacing="off" w:after="0" w:afterAutospacing="off"/>
            </w:pPr>
            <w:r w:rsidRPr="6CF76B6E" w:rsidR="6CF76B6E">
              <w:rPr>
                <w:b w:val="1"/>
                <w:bCs w:val="1"/>
              </w:rPr>
              <w:t>3. Coherencia de evidencias</w:t>
            </w:r>
          </w:p>
        </w:tc>
        <w:tc>
          <w:tcPr>
            <w:tcW w:w="6414" w:type="dxa"/>
            <w:tcMar/>
            <w:vAlign w:val="center"/>
          </w:tcPr>
          <w:p w:rsidR="6CF76B6E" w:rsidP="6CF76B6E" w:rsidRDefault="6CF76B6E" w14:paraId="42D9EB3A" w14:textId="09CA1C10">
            <w:pPr>
              <w:spacing w:before="0" w:beforeAutospacing="off" w:after="0" w:afterAutospacing="off"/>
            </w:pPr>
            <w:r w:rsidR="6CF76B6E">
              <w:rPr/>
              <w:t>• AA4: en numeral 3.3.4 sólo se menciona AA4‑EV02 (foro); en 3.4.3 sólo AA4‑EV01 (podcast).</w:t>
            </w:r>
            <w:r>
              <w:br/>
            </w:r>
            <w:r w:rsidR="6CF76B6E">
              <w:rPr/>
              <w:t>• Código de evidencia IE‑AA3‑EV02 no coincide con planeación.</w:t>
            </w:r>
            <w:r>
              <w:br/>
            </w:r>
            <w:r w:rsidR="6CF76B6E">
              <w:rPr/>
              <w:t>• Formulación poco clara en IE‑AA2‑EV01 sobre uso del pluscuamperfecto; y terminología “planificado” en lugar de “planificada”.</w:t>
            </w:r>
          </w:p>
        </w:tc>
        <w:tc>
          <w:tcPr>
            <w:tcW w:w="545" w:type="dxa"/>
            <w:tcMar/>
            <w:vAlign w:val="center"/>
          </w:tcPr>
          <w:p w:rsidR="6CF76B6E" w:rsidP="6CF76B6E" w:rsidRDefault="6CF76B6E" w14:paraId="20E3CC00" w14:textId="2BEBB46D">
            <w:pPr>
              <w:spacing w:before="0" w:beforeAutospacing="off" w:after="0" w:afterAutospacing="off"/>
            </w:pPr>
            <w:r w:rsidR="6CF76B6E">
              <w:rPr/>
              <w:t>4</w:t>
            </w:r>
          </w:p>
        </w:tc>
      </w:tr>
      <w:tr w:rsidR="6CF76B6E" w:rsidTr="6CF76B6E" w14:paraId="1BDFAA52">
        <w:trPr>
          <w:trHeight w:val="300"/>
        </w:trPr>
        <w:tc>
          <w:tcPr>
            <w:tcW w:w="2056" w:type="dxa"/>
            <w:tcMar/>
            <w:vAlign w:val="center"/>
          </w:tcPr>
          <w:p w:rsidR="6CF76B6E" w:rsidP="6CF76B6E" w:rsidRDefault="6CF76B6E" w14:paraId="2FFF5D62" w14:textId="57257312">
            <w:pPr>
              <w:spacing w:before="0" w:beforeAutospacing="off" w:after="0" w:afterAutospacing="off"/>
            </w:pPr>
            <w:r w:rsidRPr="6CF76B6E" w:rsidR="6CF76B6E">
              <w:rPr>
                <w:b w:val="1"/>
                <w:bCs w:val="1"/>
              </w:rPr>
              <w:t>4. Formato bibliográfico</w:t>
            </w:r>
          </w:p>
        </w:tc>
        <w:tc>
          <w:tcPr>
            <w:tcW w:w="6414" w:type="dxa"/>
            <w:tcMar/>
            <w:vAlign w:val="center"/>
          </w:tcPr>
          <w:p w:rsidR="6CF76B6E" w:rsidP="6CF76B6E" w:rsidRDefault="6CF76B6E" w14:paraId="371C9233" w14:textId="2D9AE753">
            <w:pPr>
              <w:spacing w:before="0" w:beforeAutospacing="off" w:after="0" w:afterAutospacing="off"/>
            </w:pPr>
            <w:r w:rsidR="6CF76B6E">
              <w:rPr/>
              <w:t>• Término “(s.f.)” debe escribirse como “(s. f.)” según normas APA y guías EcoRED.</w:t>
            </w:r>
          </w:p>
        </w:tc>
        <w:tc>
          <w:tcPr>
            <w:tcW w:w="545" w:type="dxa"/>
            <w:tcMar/>
            <w:vAlign w:val="center"/>
          </w:tcPr>
          <w:p w:rsidR="6CF76B6E" w:rsidP="6CF76B6E" w:rsidRDefault="6CF76B6E" w14:paraId="66CA73EF" w14:textId="5A05C307">
            <w:pPr>
              <w:spacing w:before="0" w:beforeAutospacing="off" w:after="0" w:afterAutospacing="off"/>
            </w:pPr>
            <w:r w:rsidR="6CF76B6E">
              <w:rPr/>
              <w:t>1</w:t>
            </w:r>
          </w:p>
        </w:tc>
      </w:tr>
    </w:tbl>
    <w:p w:rsidR="732C8E5F" w:rsidP="6CF76B6E" w:rsidRDefault="732C8E5F" w14:paraId="060E8E66" w14:textId="3DDE17DE">
      <w:pPr>
        <w:pStyle w:val="Heading2"/>
        <w:bidi w:val="0"/>
        <w:spacing w:before="299" w:beforeAutospacing="off" w:after="299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ES"/>
        </w:rPr>
        <w:t>5. Recomendaciones</w:t>
      </w:r>
    </w:p>
    <w:p w:rsidR="732C8E5F" w:rsidP="6CF76B6E" w:rsidRDefault="732C8E5F" w14:paraId="4F175AC8" w14:textId="00CB0CCA">
      <w:pPr>
        <w:pStyle w:val="Prrafodelista"/>
        <w:numPr>
          <w:ilvl w:val="0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  <w:t>Ortografía y estilo</w:t>
      </w:r>
    </w:p>
    <w:p w:rsidR="732C8E5F" w:rsidP="6CF76B6E" w:rsidRDefault="732C8E5F" w14:paraId="3DE826D9" w14:textId="20C870D8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Aplicar tilde en “Planeación” y su versión en mayúsculas.</w:t>
      </w:r>
    </w:p>
    <w:p w:rsidR="732C8E5F" w:rsidP="6CF76B6E" w:rsidRDefault="732C8E5F" w14:paraId="7216A596" w14:textId="2D2E2829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Eliminar redundancias (“opiniones personales” → “opiniones”).</w:t>
      </w:r>
    </w:p>
    <w:p w:rsidR="732C8E5F" w:rsidP="6CF76B6E" w:rsidRDefault="732C8E5F" w14:paraId="26656198" w14:textId="0BA62696">
      <w:pPr>
        <w:pStyle w:val="Prrafodelista"/>
        <w:numPr>
          <w:ilvl w:val="0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  <w:t>Gramática y claridad</w:t>
      </w:r>
    </w:p>
    <w:p w:rsidR="732C8E5F" w:rsidP="6CF76B6E" w:rsidRDefault="732C8E5F" w14:paraId="76085D3E" w14:textId="3318073F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Incorporar la preposición “a” en las frases señaladas para garantizar precisión (“a partir de tiempo y contexto”).</w:t>
      </w:r>
    </w:p>
    <w:p w:rsidR="732C8E5F" w:rsidP="6CF76B6E" w:rsidRDefault="732C8E5F" w14:paraId="2D9A2252" w14:textId="120087D2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Corregir “despertarse” por “despertar” en la instrucción IE‑AA1‑EV01.</w:t>
      </w:r>
    </w:p>
    <w:p w:rsidR="732C8E5F" w:rsidP="6CF76B6E" w:rsidRDefault="732C8E5F" w14:paraId="0568EBC9" w14:textId="1208F8B9">
      <w:pPr>
        <w:pStyle w:val="Prrafodelista"/>
        <w:numPr>
          <w:ilvl w:val="0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  <w:t>Evidencias y nomenclatura</w:t>
      </w:r>
    </w:p>
    <w:p w:rsidR="732C8E5F" w:rsidP="6CF76B6E" w:rsidRDefault="732C8E5F" w14:paraId="0D642049" w14:textId="37CBF9EA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Verificar que cada número de evidencia (AA1‑EV01, AA4‑EV02, etc.) coincida entre planeación y guía.</w:t>
      </w:r>
    </w:p>
    <w:p w:rsidR="732C8E5F" w:rsidP="6CF76B6E" w:rsidRDefault="732C8E5F" w14:paraId="3DDD779F" w14:textId="30507841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Ajustar la redacción de IE‑AA2‑EV01 a:</w:t>
      </w:r>
    </w:p>
    <w:p w:rsidR="732C8E5F" w:rsidP="6CF76B6E" w:rsidRDefault="732C8E5F" w14:paraId="41D910E1" w14:textId="42B3F88B">
      <w:pPr>
        <w:bidi w:val="0"/>
        <w:spacing w:before="240" w:beforeAutospacing="off" w:after="240" w:afterAutospacing="off"/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“En cada caso, identifique si la opción correcta utiliza el pasado pluscuamperfecto.”</w:t>
      </w:r>
    </w:p>
    <w:p w:rsidR="732C8E5F" w:rsidP="6CF76B6E" w:rsidRDefault="732C8E5F" w14:paraId="3EE53355" w14:textId="79BC1E31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Uniformizar “planificado”/“planificada” según género y contexto.</w:t>
      </w:r>
    </w:p>
    <w:p w:rsidR="732C8E5F" w:rsidP="6CF76B6E" w:rsidRDefault="732C8E5F" w14:paraId="78689DA3" w14:textId="578A5297">
      <w:pPr>
        <w:pStyle w:val="Prrafodelista"/>
        <w:numPr>
          <w:ilvl w:val="0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s-ES"/>
        </w:rPr>
        <w:t>Referencias bibliográficas</w:t>
      </w:r>
    </w:p>
    <w:p w:rsidR="732C8E5F" w:rsidP="6CF76B6E" w:rsidRDefault="732C8E5F" w14:paraId="1FD8D8D9" w14:textId="2FAEFFD5">
      <w:pPr>
        <w:pStyle w:val="Prrafodelista"/>
        <w:numPr>
          <w:ilvl w:val="1"/>
          <w:numId w:val="24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Ajustar el formato de “(s. f.)” en referencias para cumplir con los estándares APA y EcoRED.</w:t>
      </w:r>
    </w:p>
    <w:p w:rsidR="732C8E5F" w:rsidP="6CF76B6E" w:rsidRDefault="732C8E5F" w14:paraId="4EACD884" w14:textId="0AEA8865">
      <w:pPr>
        <w:pStyle w:val="Heading2"/>
        <w:bidi w:val="0"/>
        <w:spacing w:before="299" w:beforeAutospacing="off" w:after="299" w:afterAutospacing="off"/>
      </w:pPr>
      <w:r w:rsidRPr="6CF76B6E" w:rsidR="732C8E5F">
        <w:rPr>
          <w:rFonts w:ascii="Calibri" w:hAnsi="Calibri" w:eastAsia="Calibri" w:cs="Calibri"/>
          <w:b w:val="1"/>
          <w:bCs w:val="1"/>
          <w:noProof w:val="0"/>
          <w:sz w:val="36"/>
          <w:szCs w:val="36"/>
          <w:lang w:val="es-ES"/>
        </w:rPr>
        <w:t>6. Próximos pasos</w:t>
      </w:r>
    </w:p>
    <w:p w:rsidR="732C8E5F" w:rsidP="6CF76B6E" w:rsidRDefault="732C8E5F" w14:paraId="5425DB2F" w14:textId="7215A22F">
      <w:pPr>
        <w:pStyle w:val="Prrafodelista"/>
        <w:numPr>
          <w:ilvl w:val="0"/>
          <w:numId w:val="2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Incorporar las correcciones en el documento maestro en Sofia Plus.</w:t>
      </w:r>
    </w:p>
    <w:p w:rsidR="732C8E5F" w:rsidP="6CF76B6E" w:rsidRDefault="732C8E5F" w14:paraId="75E9479F" w14:textId="1AD11B52">
      <w:pPr>
        <w:pStyle w:val="Prrafodelista"/>
        <w:numPr>
          <w:ilvl w:val="0"/>
          <w:numId w:val="2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Validar con el experto que los ajustes mantengan la intención pedagógica original.</w:t>
      </w:r>
    </w:p>
    <w:p w:rsidR="732C8E5F" w:rsidP="6CF76B6E" w:rsidRDefault="732C8E5F" w14:paraId="41A7DF23" w14:textId="217415EC">
      <w:pPr>
        <w:pStyle w:val="Prrafodelista"/>
        <w:numPr>
          <w:ilvl w:val="0"/>
          <w:numId w:val="25"/>
        </w:numPr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732C8E5F">
        <w:rPr>
          <w:rFonts w:ascii="Calibri" w:hAnsi="Calibri" w:eastAsia="Calibri" w:cs="Calibri"/>
          <w:noProof w:val="0"/>
          <w:sz w:val="24"/>
          <w:szCs w:val="24"/>
          <w:lang w:val="es-ES"/>
        </w:rPr>
        <w:t>Realizar una segunda ronda de revisión de muestra para asegurar la implementación completa de las recomendaciones.</w:t>
      </w:r>
    </w:p>
    <w:p w:rsidR="0156D185" w:rsidP="6CF76B6E" w:rsidRDefault="0156D185" w14:paraId="740336A0" w14:textId="7CB5D629">
      <w:pPr>
        <w:pStyle w:val="Normal"/>
        <w:bidi w:val="0"/>
        <w:spacing w:before="240" w:beforeAutospacing="off" w:after="240" w:afterAutospacing="off"/>
        <w:rPr>
          <w:rFonts w:ascii="Calibri" w:hAnsi="Calibri" w:eastAsia="Calibri" w:cs="Calibri"/>
          <w:noProof w:val="0"/>
          <w:sz w:val="24"/>
          <w:szCs w:val="24"/>
          <w:lang w:val="es-ES"/>
        </w:rPr>
      </w:pPr>
      <w:r w:rsidRPr="6CF76B6E" w:rsidR="0156D185">
        <w:rPr>
          <w:rFonts w:ascii="Calibri" w:hAnsi="Calibri" w:eastAsia="Calibri" w:cs="Calibri"/>
          <w:noProof w:val="0"/>
          <w:sz w:val="24"/>
          <w:szCs w:val="24"/>
          <w:lang w:val="es-ES"/>
        </w:rPr>
        <w:t>Anexo</w:t>
      </w:r>
    </w:p>
    <w:p w:rsidR="42B96EC5" w:rsidP="6CF76B6E" w:rsidRDefault="42B96EC5" w14:paraId="72679E98" w14:textId="68FC4441">
      <w:pPr>
        <w:bidi w:val="0"/>
        <w:spacing w:before="240" w:beforeAutospacing="off" w:after="240" w:afterAutospacing="off"/>
      </w:pPr>
      <w:hyperlink r:id="Rf780c719da644116">
        <w:r w:rsidRPr="6CF76B6E" w:rsidR="42B96EC5">
          <w:rPr>
            <w:rStyle w:val="Hyperlink"/>
            <w:rFonts w:ascii="Calibri" w:hAnsi="Calibri" w:eastAsia="Calibri" w:cs="Calibri"/>
            <w:noProof w:val="0"/>
            <w:sz w:val="24"/>
            <w:szCs w:val="24"/>
            <w:lang w:val="es-ES"/>
          </w:rPr>
          <w:t>COMPLEMENTARIA_“COMUNICACIÓN EN ESPAÑOL PARA EXTRANJEROS - NIVEL V” 51240107_1_VIRTUAL_1.docx</w:t>
        </w:r>
      </w:hyperlink>
    </w:p>
    <w:p w:rsidR="6CF76B6E" w:rsidP="6CF76B6E" w:rsidRDefault="6CF76B6E" w14:paraId="424B64EB" w14:textId="46D29C8B">
      <w:pPr>
        <w:rPr>
          <w:rFonts w:ascii="Calibri" w:hAnsi="Calibri" w:eastAsia="Calibri" w:cs="Calibri"/>
          <w:noProof w:val="0"/>
          <w:sz w:val="24"/>
          <w:szCs w:val="24"/>
          <w:lang w:val="es-ES"/>
        </w:rPr>
      </w:pPr>
    </w:p>
    <w:sectPr w:rsidR="00CD32D7"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5c2776198643444a"/>
      <w:footerReference w:type="default" r:id="R508b3dfb413d425a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3BDB1F6" w:rsidTr="33BDB1F6" w14:paraId="3940E3B1">
      <w:trPr>
        <w:trHeight w:val="300"/>
      </w:trPr>
      <w:tc>
        <w:tcPr>
          <w:tcW w:w="3005" w:type="dxa"/>
          <w:tcMar/>
        </w:tcPr>
        <w:p w:rsidR="33BDB1F6" w:rsidP="33BDB1F6" w:rsidRDefault="33BDB1F6" w14:paraId="1C2922A5" w14:textId="406067CA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3BDB1F6" w:rsidP="33BDB1F6" w:rsidRDefault="33BDB1F6" w14:paraId="0842943F" w14:textId="03A41ABA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3BDB1F6" w:rsidP="33BDB1F6" w:rsidRDefault="33BDB1F6" w14:paraId="4C80F8D7" w14:textId="2E4B998D">
          <w:pPr>
            <w:pStyle w:val="Header"/>
            <w:bidi w:val="0"/>
            <w:ind w:right="-115"/>
            <w:jc w:val="right"/>
          </w:pPr>
        </w:p>
      </w:tc>
    </w:tr>
  </w:tbl>
  <w:p w:rsidR="33BDB1F6" w:rsidP="33BDB1F6" w:rsidRDefault="33BDB1F6" w14:paraId="533BE1FF" w14:textId="716BCC4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3BDB1F6" w:rsidTr="33BDB1F6" w14:paraId="195798C1">
      <w:trPr>
        <w:trHeight w:val="300"/>
      </w:trPr>
      <w:tc>
        <w:tcPr>
          <w:tcW w:w="3005" w:type="dxa"/>
          <w:tcMar/>
        </w:tcPr>
        <w:p w:rsidR="33BDB1F6" w:rsidP="33BDB1F6" w:rsidRDefault="33BDB1F6" w14:paraId="1AA01F31" w14:textId="556FF0AD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3BDB1F6" w:rsidP="33BDB1F6" w:rsidRDefault="33BDB1F6" w14:paraId="39B9941B" w14:textId="6B2E75BA">
          <w:pPr>
            <w:bidi w:val="0"/>
            <w:jc w:val="center"/>
          </w:pPr>
          <w:r w:rsidR="33BDB1F6">
            <w:drawing>
              <wp:inline wp14:editId="66763C1D" wp14:anchorId="6A912514">
                <wp:extent cx="590550" cy="542925"/>
                <wp:effectExtent l="0" t="0" r="0" b="0"/>
                <wp:docPr id="2123441546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e0ccca8a75454d75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550" cy="542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3005" w:type="dxa"/>
          <w:tcMar/>
        </w:tcPr>
        <w:p w:rsidR="33BDB1F6" w:rsidP="33BDB1F6" w:rsidRDefault="33BDB1F6" w14:paraId="7B82175B" w14:textId="77D3B17B">
          <w:pPr>
            <w:pStyle w:val="Header"/>
            <w:bidi w:val="0"/>
            <w:ind w:right="-115"/>
            <w:jc w:val="right"/>
          </w:pPr>
        </w:p>
      </w:tc>
    </w:tr>
  </w:tbl>
  <w:p w:rsidR="33BDB1F6" w:rsidP="33BDB1F6" w:rsidRDefault="33BDB1F6" w14:paraId="5D049F01" w14:textId="1693ECC4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4">
    <w:nsid w:val="4881aa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51a08fb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7b7fff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6502e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825c2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424302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bb086d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1e30e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3040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f1a78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aade5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f6b0a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e0507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82e21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576c9b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10252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4ae1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a0848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90fcb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d903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e24d8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EBFA73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A195E81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CEDCEE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AE8372"/>
    <w:multiLevelType w:val="hybrid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518499133">
    <w:abstractNumId w:val="0"/>
  </w:num>
  <w:num w:numId="2" w16cid:durableId="909655872">
    <w:abstractNumId w:val="1"/>
  </w:num>
  <w:num w:numId="3" w16cid:durableId="698744934">
    <w:abstractNumId w:val="2"/>
  </w:num>
  <w:num w:numId="4" w16cid:durableId="908878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7A0A34"/>
    <w:rsid w:val="0041262B"/>
    <w:rsid w:val="009C758C"/>
    <w:rsid w:val="00CD32D7"/>
    <w:rsid w:val="011C5F50"/>
    <w:rsid w:val="0156D185"/>
    <w:rsid w:val="019E2F5D"/>
    <w:rsid w:val="0276DE52"/>
    <w:rsid w:val="02B1F52F"/>
    <w:rsid w:val="042C6901"/>
    <w:rsid w:val="04F8321C"/>
    <w:rsid w:val="053E8C3F"/>
    <w:rsid w:val="0582436E"/>
    <w:rsid w:val="0B1860D5"/>
    <w:rsid w:val="0B3A657E"/>
    <w:rsid w:val="0F621E5D"/>
    <w:rsid w:val="1086B1BC"/>
    <w:rsid w:val="161F555C"/>
    <w:rsid w:val="17254CA1"/>
    <w:rsid w:val="1828B8C2"/>
    <w:rsid w:val="194580F6"/>
    <w:rsid w:val="1AF33673"/>
    <w:rsid w:val="1B9922BD"/>
    <w:rsid w:val="1C03E4C0"/>
    <w:rsid w:val="1CDCE003"/>
    <w:rsid w:val="1DA4B130"/>
    <w:rsid w:val="1F1AE0A4"/>
    <w:rsid w:val="1F2D2106"/>
    <w:rsid w:val="2126F6AA"/>
    <w:rsid w:val="220F0D8E"/>
    <w:rsid w:val="253FFABD"/>
    <w:rsid w:val="25592BE2"/>
    <w:rsid w:val="26BFBB1E"/>
    <w:rsid w:val="2D88E731"/>
    <w:rsid w:val="2E06307B"/>
    <w:rsid w:val="2EB1E52E"/>
    <w:rsid w:val="2F2B765E"/>
    <w:rsid w:val="311350AA"/>
    <w:rsid w:val="3226DA6B"/>
    <w:rsid w:val="32F2115B"/>
    <w:rsid w:val="33BDB1F6"/>
    <w:rsid w:val="363F30F2"/>
    <w:rsid w:val="37C75FB3"/>
    <w:rsid w:val="37C75FB3"/>
    <w:rsid w:val="38DCE132"/>
    <w:rsid w:val="39331483"/>
    <w:rsid w:val="3B49EFF0"/>
    <w:rsid w:val="3C5C5255"/>
    <w:rsid w:val="3C842F53"/>
    <w:rsid w:val="3DE845CD"/>
    <w:rsid w:val="3E5B7972"/>
    <w:rsid w:val="3F03D30D"/>
    <w:rsid w:val="3FBABC6F"/>
    <w:rsid w:val="402370D2"/>
    <w:rsid w:val="40BC6164"/>
    <w:rsid w:val="41A05BA8"/>
    <w:rsid w:val="42B96EC5"/>
    <w:rsid w:val="437EE885"/>
    <w:rsid w:val="45863ED7"/>
    <w:rsid w:val="4662C851"/>
    <w:rsid w:val="4671C380"/>
    <w:rsid w:val="467A0A34"/>
    <w:rsid w:val="46B2AFAE"/>
    <w:rsid w:val="46E3F142"/>
    <w:rsid w:val="497F1F14"/>
    <w:rsid w:val="4E66B657"/>
    <w:rsid w:val="4E91127D"/>
    <w:rsid w:val="520DF8D7"/>
    <w:rsid w:val="53DD3BB3"/>
    <w:rsid w:val="56FFD70F"/>
    <w:rsid w:val="57E74219"/>
    <w:rsid w:val="581892FA"/>
    <w:rsid w:val="58EB8EBA"/>
    <w:rsid w:val="5A085D7D"/>
    <w:rsid w:val="5A3C1D2C"/>
    <w:rsid w:val="5CD715B2"/>
    <w:rsid w:val="5EC007BA"/>
    <w:rsid w:val="6033C500"/>
    <w:rsid w:val="60B437E7"/>
    <w:rsid w:val="63AF2F30"/>
    <w:rsid w:val="642C7F30"/>
    <w:rsid w:val="64544528"/>
    <w:rsid w:val="64E4FF74"/>
    <w:rsid w:val="66251401"/>
    <w:rsid w:val="66B90ADD"/>
    <w:rsid w:val="68566D84"/>
    <w:rsid w:val="6862E3AC"/>
    <w:rsid w:val="686AEC7D"/>
    <w:rsid w:val="68FBD644"/>
    <w:rsid w:val="68FD0F5C"/>
    <w:rsid w:val="69DD6D53"/>
    <w:rsid w:val="6C5EAC7D"/>
    <w:rsid w:val="6CF76B6E"/>
    <w:rsid w:val="6D2E4609"/>
    <w:rsid w:val="6D9B4F9D"/>
    <w:rsid w:val="6E6C5CA4"/>
    <w:rsid w:val="6F3D9857"/>
    <w:rsid w:val="70C7B3DB"/>
    <w:rsid w:val="732C8E5F"/>
    <w:rsid w:val="75BC60C7"/>
    <w:rsid w:val="788E0692"/>
    <w:rsid w:val="78E08529"/>
    <w:rsid w:val="798E2AC9"/>
    <w:rsid w:val="7A23ACB6"/>
    <w:rsid w:val="7EDFE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A0A34"/>
  <w15:chartTrackingRefBased/>
  <w15:docId w15:val="{6037CC6E-590F-407A-9313-4A79991C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3">
    <w:name w:val="heading 3"/>
    <w:basedOn w:val="Normal"/>
    <w:next w:val="Normal"/>
    <w:uiPriority w:val="9"/>
    <w:unhideWhenUsed/>
    <w:qFormat/>
    <w:rsid w:val="64E4FF7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64E4FF74"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uiPriority w:val="99"/>
    <w:name w:val="Hyperlink"/>
    <w:basedOn w:val="Fuentedeprrafopredeter"/>
    <w:unhideWhenUsed/>
    <w:rsid w:val="3B49EFF0"/>
    <w:rPr>
      <w:color w:val="467886"/>
      <w:u w:val="single"/>
    </w:rPr>
  </w:style>
  <w:style w:type="paragraph" w:styleId="Heading1">
    <w:uiPriority w:val="9"/>
    <w:name w:val="heading 1"/>
    <w:basedOn w:val="Normal"/>
    <w:next w:val="Normal"/>
    <w:qFormat/>
    <w:rsid w:val="3B49EFF0"/>
    <w:rPr>
      <w:rFonts w:ascii="Aptos Display" w:hAnsi="Aptos Display" w:eastAsia="Aptos Display" w:cs="" w:asciiTheme="majorAscii" w:hAnsiTheme="majorAscii" w:eastAsiaTheme="minorAscii" w:cstheme="majorEastAsia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er">
    <w:uiPriority w:val="99"/>
    <w:name w:val="header"/>
    <w:basedOn w:val="Normal"/>
    <w:unhideWhenUsed/>
    <w:rsid w:val="33BDB1F6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3BDB1F6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2">
    <w:uiPriority w:val="9"/>
    <w:name w:val="heading 2"/>
    <w:basedOn w:val="Normal"/>
    <w:next w:val="Normal"/>
    <w:unhideWhenUsed/>
    <w:qFormat/>
    <w:rsid w:val="41A05BA8"/>
    <w:rPr>
      <w:rFonts w:ascii="Aptos Display" w:hAnsi="Aptos Display" w:eastAsia="Aptos Display" w:cs="ＭＳ ゴシック" w:asciiTheme="majorAscii" w:hAnsiTheme="majorAscii" w:eastAsiaTheme="minorAscii" w:cstheme="majorEastAsia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4">
    <w:uiPriority w:val="9"/>
    <w:name w:val="heading 4"/>
    <w:basedOn w:val="Normal"/>
    <w:next w:val="Normal"/>
    <w:unhideWhenUsed/>
    <w:qFormat/>
    <w:rsid w:val="04F8321C"/>
    <w:rPr>
      <w:rFonts w:eastAsia="Aptos Display" w:cs="ＭＳ ゴシック" w:eastAsiaTheme="minorAscii" w:cstheme="majorEastAsia"/>
      <w:i w:val="1"/>
      <w:iCs w:val="1"/>
      <w:color w:val="0F4761" w:themeColor="accent1" w:themeTint="FF" w:themeShade="BF"/>
    </w:rPr>
    <w:pPr>
      <w:keepNext w:val="1"/>
      <w:keepLines w:val="1"/>
      <w:spacing w:before="80" w:after="40"/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eader" Target="header.xml" Id="R5c2776198643444a" /><Relationship Type="http://schemas.openxmlformats.org/officeDocument/2006/relationships/footer" Target="footer.xml" Id="R508b3dfb413d425a" /><Relationship Type="http://schemas.openxmlformats.org/officeDocument/2006/relationships/hyperlink" Target="https://sena4.sharepoint.com/:w:/r/teams/CONTRATISTASGOEC2025/Shared%20Documents/General/ANDRES%20CAMILO%20PENAGOS%20BELTRAN/Julio/EVIDENCIAS/OBLIGACIONES%20ESPECIFICAS/OBLIGACION%204%20APOYAR%20EN%20LA%20DOCUMENTACIO%CC%81N%20TE%CC%81CNICA,%20INCLUYENDO%20INFORMES,%20ANA%CC%81LISIS%20Y%20RESPUESTAS%20A%20REQUERIMIENTOS%20ESPECI%CC%81FICOS%20SOBRE%20LA%20GESTIO%CC%81N/Evidencias%20publicacio%CC%81n%20Scorm%20nivel%204/COMPLEMENTARIA_%E2%80%9CCOMUNICACIO%CC%81N%20EN%20ESPAN%CC%83OL%20PARA%20EXTRANJEROS%20-%20NIVEL%20V%E2%80%9D%2051240107_1_VIRTUAL_1.docx?d=wf7014b6e62c9488aa82d6055fc06fa37&amp;csf=1&amp;web=1&amp;e=EQ8kXy" TargetMode="External" Id="Rf780c719da644116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e0ccca8a75454d7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1d0aab-c1ac-4dc3-921b-e8cc504f0335">
      <Terms xmlns="http://schemas.microsoft.com/office/infopath/2007/PartnerControls"/>
    </lcf76f155ced4ddcb4097134ff3c332f>
    <TaxCatchAll xmlns="46f2913f-2ea1-469d-8350-8e388ee7640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4982797B8E1841BF8A5413A4F96C76" ma:contentTypeVersion="13" ma:contentTypeDescription="Create a new document." ma:contentTypeScope="" ma:versionID="d4c8ceb5ed5a0497b2b6ba51901aaeb1">
  <xsd:schema xmlns:xsd="http://www.w3.org/2001/XMLSchema" xmlns:xs="http://www.w3.org/2001/XMLSchema" xmlns:p="http://schemas.microsoft.com/office/2006/metadata/properties" xmlns:ns2="1f1d0aab-c1ac-4dc3-921b-e8cc504f0335" xmlns:ns3="46f2913f-2ea1-469d-8350-8e388ee76405" targetNamespace="http://schemas.microsoft.com/office/2006/metadata/properties" ma:root="true" ma:fieldsID="a11b6f360d763a740a34ba38bd22a0d3" ns2:_="" ns3:_="">
    <xsd:import namespace="1f1d0aab-c1ac-4dc3-921b-e8cc504f0335"/>
    <xsd:import namespace="46f2913f-2ea1-469d-8350-8e388ee764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d0aab-c1ac-4dc3-921b-e8cc504f0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2913f-2ea1-469d-8350-8e388ee764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79b736-aa91-4ba7-87c6-829f3d31bf3c}" ma:internalName="TaxCatchAll" ma:showField="CatchAllData" ma:web="46f2913f-2ea1-469d-8350-8e388ee764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5CE15D-BAF8-4277-B482-60948F2DC466}">
  <ds:schemaRefs>
    <ds:schemaRef ds:uri="http://schemas.microsoft.com/office/2006/metadata/properties"/>
    <ds:schemaRef ds:uri="http://schemas.microsoft.com/office/infopath/2007/PartnerControls"/>
    <ds:schemaRef ds:uri="1f1d0aab-c1ac-4dc3-921b-e8cc504f0335"/>
    <ds:schemaRef ds:uri="46f2913f-2ea1-469d-8350-8e388ee76405"/>
  </ds:schemaRefs>
</ds:datastoreItem>
</file>

<file path=customXml/itemProps2.xml><?xml version="1.0" encoding="utf-8"?>
<ds:datastoreItem xmlns:ds="http://schemas.openxmlformats.org/officeDocument/2006/customXml" ds:itemID="{3864EF55-BA16-426C-81CC-D5E22D4A8D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CD8F0D-484F-4C0D-AD7C-71FCC9876C5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Andrés Camilo Penagos Beltrán</dc:creator>
  <keywords/>
  <dc:description/>
  <lastModifiedBy>Andrés Camilo Penagos Beltrán</lastModifiedBy>
  <revision>17</revision>
  <dcterms:created xsi:type="dcterms:W3CDTF">2025-02-25T00:06:00.0000000Z</dcterms:created>
  <dcterms:modified xsi:type="dcterms:W3CDTF">2025-07-22T20:53:48.0126708Z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0x010100E54982797B8E1841BF8A5413A4F96C76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2025-02-25T00:06:34Z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3b923013-f4d0-4f3f-8b48-866306d74544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